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ele-GroteskNor" w:eastAsiaTheme="majorEastAsia" w:hAnsi="Tele-GroteskNor" w:cstheme="majorBidi"/>
        </w:rPr>
        <w:id w:val="6692614"/>
        <w:docPartObj>
          <w:docPartGallery w:val="Cover Pages"/>
          <w:docPartUnique/>
        </w:docPartObj>
      </w:sdtPr>
      <w:sdtEndPr>
        <w:rPr>
          <w:rFonts w:eastAsiaTheme="minorHAnsi" w:cstheme="minorBidi"/>
        </w:rPr>
      </w:sdtEndPr>
      <w:sdtContent>
        <w:tbl>
          <w:tblPr>
            <w:tblpPr w:leftFromText="187" w:rightFromText="187" w:horzAnchor="margin" w:tblpXSpec="center" w:tblpY="2881"/>
            <w:tblW w:w="4000" w:type="pct"/>
            <w:tblBorders>
              <w:left w:val="single" w:sz="18" w:space="0" w:color="E20074"/>
            </w:tblBorders>
            <w:tblLook w:val="04A0" w:firstRow="1" w:lastRow="0" w:firstColumn="1" w:lastColumn="0" w:noHBand="0" w:noVBand="1"/>
          </w:tblPr>
          <w:tblGrid>
            <w:gridCol w:w="7239"/>
          </w:tblGrid>
          <w:tr w:rsidR="0054053C" w:rsidRPr="003D67A2" w:rsidTr="00F10B16">
            <w:sdt>
              <w:sdtPr>
                <w:rPr>
                  <w:rFonts w:ascii="Tele-GroteskNor" w:eastAsiaTheme="majorEastAsia" w:hAnsi="Tele-GroteskNor" w:cstheme="majorBidi"/>
                </w:rPr>
                <w:alias w:val="Firma"/>
                <w:id w:val="13406915"/>
                <w:dataBinding w:prefixMappings="xmlns:ns0='http://schemas.openxmlformats.org/officeDocument/2006/extended-properties'" w:xpath="/ns0:Properties[1]/ns0:Company[1]" w:storeItemID="{6668398D-A668-4E3E-A5EB-62B293D839F1}"/>
                <w:text/>
              </w:sdtPr>
              <w:sdtEndPr/>
              <w:sdtContent>
                <w:tc>
                  <w:tcPr>
                    <w:tcW w:w="7442" w:type="dxa"/>
                    <w:tcMar>
                      <w:top w:w="216" w:type="dxa"/>
                      <w:left w:w="115" w:type="dxa"/>
                      <w:bottom w:w="216" w:type="dxa"/>
                      <w:right w:w="115" w:type="dxa"/>
                    </w:tcMar>
                  </w:tcPr>
                  <w:p w:rsidR="0054053C" w:rsidRPr="003D67A2" w:rsidRDefault="0054053C" w:rsidP="003D67A2">
                    <w:pPr>
                      <w:pStyle w:val="KeinLeerraum"/>
                      <w:spacing w:after="120" w:line="360" w:lineRule="auto"/>
                      <w:rPr>
                        <w:rFonts w:ascii="Tele-GroteskNor" w:eastAsiaTheme="majorEastAsia" w:hAnsi="Tele-GroteskNor" w:cstheme="majorBidi"/>
                      </w:rPr>
                    </w:pPr>
                    <w:r w:rsidRPr="003D67A2">
                      <w:rPr>
                        <w:rFonts w:ascii="Tele-GroteskNor" w:eastAsiaTheme="majorEastAsia" w:hAnsi="Tele-GroteskNor" w:cstheme="majorBidi"/>
                      </w:rPr>
                      <w:t>Deutsche Telekom AG</w:t>
                    </w:r>
                  </w:p>
                </w:tc>
              </w:sdtContent>
            </w:sdt>
          </w:tr>
          <w:tr w:rsidR="0054053C" w:rsidRPr="00755716" w:rsidTr="00F10B16">
            <w:tc>
              <w:tcPr>
                <w:tcW w:w="7442" w:type="dxa"/>
              </w:tcPr>
              <w:sdt>
                <w:sdtPr>
                  <w:rPr>
                    <w:rFonts w:ascii="Tele-GroteskNor" w:eastAsiaTheme="majorEastAsia" w:hAnsi="Tele-GroteskNor" w:cstheme="majorBidi"/>
                    <w:color w:val="E20074"/>
                    <w:sz w:val="56"/>
                    <w:szCs w:val="56"/>
                  </w:rPr>
                  <w:alias w:val="Titel"/>
                  <w:id w:val="13406919"/>
                  <w:dataBinding w:prefixMappings="xmlns:ns0='http://schemas.openxmlformats.org/package/2006/metadata/core-properties' xmlns:ns1='http://purl.org/dc/elements/1.1/'" w:xpath="/ns0:coreProperties[1]/ns1:title[1]" w:storeItemID="{6C3C8BC8-F283-45AE-878A-BAB7291924A1}"/>
                  <w:text/>
                </w:sdtPr>
                <w:sdtEndPr/>
                <w:sdtContent>
                  <w:p w:rsidR="0054053C" w:rsidRPr="00755716" w:rsidRDefault="00755716" w:rsidP="00755716">
                    <w:pPr>
                      <w:pStyle w:val="KeinLeerraum"/>
                      <w:spacing w:after="120"/>
                      <w:rPr>
                        <w:rFonts w:ascii="Tele-GroteskNor" w:eastAsiaTheme="majorEastAsia" w:hAnsi="Tele-GroteskNor" w:cstheme="majorBidi"/>
                        <w:color w:val="E20074"/>
                        <w:sz w:val="80"/>
                        <w:szCs w:val="80"/>
                      </w:rPr>
                    </w:pPr>
                    <w:r w:rsidRPr="00755716">
                      <w:rPr>
                        <w:rFonts w:ascii="Tele-GroteskNor" w:eastAsiaTheme="majorEastAsia" w:hAnsi="Tele-GroteskNor" w:cstheme="majorBidi"/>
                        <w:color w:val="E20074"/>
                        <w:sz w:val="56"/>
                        <w:szCs w:val="56"/>
                      </w:rPr>
                      <w:t>Réponse de Deutsche Telekom AG dans le cadre de la consultation publique de l'ARCEP sur l'autorisation d'éléments terrestres complémentaires au service mobile par satellite en bande 2 GHz pour la so</w:t>
                    </w:r>
                    <w:r>
                      <w:rPr>
                        <w:rFonts w:ascii="Tele-GroteskNor" w:eastAsiaTheme="majorEastAsia" w:hAnsi="Tele-GroteskNor" w:cstheme="majorBidi"/>
                        <w:color w:val="E20074"/>
                        <w:sz w:val="56"/>
                        <w:szCs w:val="56"/>
                      </w:rPr>
                      <w:t>ciété Inmarsat Ventures Limited</w:t>
                    </w:r>
                  </w:p>
                </w:sdtContent>
              </w:sdt>
            </w:tc>
          </w:tr>
        </w:tbl>
        <w:p w:rsidR="0054053C" w:rsidRPr="00755716" w:rsidRDefault="0054053C" w:rsidP="003D67A2">
          <w:pPr>
            <w:spacing w:after="120" w:line="360" w:lineRule="auto"/>
            <w:rPr>
              <w:rFonts w:ascii="Tele-GroteskNor" w:hAnsi="Tele-GroteskNor"/>
            </w:rPr>
          </w:pPr>
        </w:p>
        <w:p w:rsidR="0054053C" w:rsidRPr="00755716" w:rsidRDefault="0054053C" w:rsidP="003D67A2">
          <w:pPr>
            <w:spacing w:after="120" w:line="360" w:lineRule="auto"/>
            <w:rPr>
              <w:rFonts w:ascii="Tele-GroteskNor" w:hAnsi="Tele-GroteskNor"/>
            </w:rPr>
          </w:pPr>
        </w:p>
        <w:tbl>
          <w:tblPr>
            <w:tblpPr w:leftFromText="187" w:rightFromText="187" w:horzAnchor="margin" w:tblpXSpec="center" w:tblpYSpec="bottom"/>
            <w:tblW w:w="4000" w:type="pct"/>
            <w:tblLook w:val="04A0" w:firstRow="1" w:lastRow="0" w:firstColumn="1" w:lastColumn="0" w:noHBand="0" w:noVBand="1"/>
          </w:tblPr>
          <w:tblGrid>
            <w:gridCol w:w="7258"/>
          </w:tblGrid>
          <w:tr w:rsidR="0054053C" w:rsidRPr="00755716">
            <w:tc>
              <w:tcPr>
                <w:tcW w:w="7672" w:type="dxa"/>
                <w:tcMar>
                  <w:top w:w="216" w:type="dxa"/>
                  <w:left w:w="115" w:type="dxa"/>
                  <w:bottom w:w="216" w:type="dxa"/>
                  <w:right w:w="115" w:type="dxa"/>
                </w:tcMar>
              </w:tcPr>
              <w:p w:rsidR="0054053C" w:rsidRPr="00755716" w:rsidRDefault="0054053C" w:rsidP="003D67A2">
                <w:pPr>
                  <w:pStyle w:val="KeinLeerraum"/>
                  <w:spacing w:after="120" w:line="360" w:lineRule="auto"/>
                  <w:rPr>
                    <w:rFonts w:ascii="Tele-GroteskNor" w:hAnsi="Tele-GroteskNor"/>
                    <w:color w:val="5B9BD5" w:themeColor="accent1"/>
                  </w:rPr>
                </w:pPr>
              </w:p>
            </w:tc>
          </w:tr>
        </w:tbl>
        <w:p w:rsidR="0054053C" w:rsidRPr="00755716" w:rsidRDefault="0054053C" w:rsidP="003D67A2">
          <w:pPr>
            <w:spacing w:after="120" w:line="360" w:lineRule="auto"/>
            <w:rPr>
              <w:rFonts w:ascii="Tele-GroteskNor" w:hAnsi="Tele-GroteskNor"/>
            </w:rPr>
          </w:pPr>
        </w:p>
        <w:p w:rsidR="00A859A9" w:rsidRPr="003D67A2" w:rsidRDefault="00263176" w:rsidP="003D67A2">
          <w:pPr>
            <w:spacing w:after="120" w:line="360" w:lineRule="auto"/>
            <w:rPr>
              <w:rFonts w:ascii="Tele-GroteskNor" w:hAnsi="Tele-GroteskNor"/>
            </w:rPr>
          </w:pPr>
        </w:p>
      </w:sdtContent>
    </w:sdt>
    <w:p w:rsidR="008341E8" w:rsidRPr="003D67A2" w:rsidRDefault="008341E8" w:rsidP="003D67A2">
      <w:pPr>
        <w:spacing w:after="120" w:line="360" w:lineRule="auto"/>
        <w:jc w:val="both"/>
        <w:outlineLvl w:val="0"/>
        <w:rPr>
          <w:rFonts w:ascii="Tele-GroteskNor" w:hAnsi="Tele-GroteskNor"/>
        </w:rPr>
      </w:pPr>
    </w:p>
    <w:p w:rsidR="001722F5" w:rsidRPr="003D67A2" w:rsidRDefault="001722F5" w:rsidP="003D67A2">
      <w:pPr>
        <w:spacing w:after="120" w:line="360" w:lineRule="auto"/>
        <w:jc w:val="both"/>
        <w:outlineLvl w:val="0"/>
        <w:rPr>
          <w:rFonts w:ascii="Tele-GroteskNor" w:hAnsi="Tele-GroteskNor"/>
        </w:rPr>
      </w:pPr>
    </w:p>
    <w:p w:rsidR="00A4305D" w:rsidRPr="003D67A2" w:rsidRDefault="00A4305D" w:rsidP="003D67A2">
      <w:pPr>
        <w:spacing w:after="120" w:line="360" w:lineRule="auto"/>
        <w:jc w:val="both"/>
        <w:outlineLvl w:val="0"/>
        <w:rPr>
          <w:rFonts w:ascii="Tele-GroteskNor" w:hAnsi="Tele-GroteskNor"/>
        </w:rPr>
      </w:pPr>
    </w:p>
    <w:p w:rsidR="00A4305D" w:rsidRPr="003D67A2" w:rsidRDefault="00A4305D" w:rsidP="003D67A2">
      <w:pPr>
        <w:spacing w:after="120" w:line="360" w:lineRule="auto"/>
        <w:jc w:val="both"/>
        <w:outlineLvl w:val="0"/>
        <w:rPr>
          <w:rFonts w:ascii="Tele-GroteskNor" w:hAnsi="Tele-GroteskNor"/>
        </w:rPr>
      </w:pPr>
    </w:p>
    <w:p w:rsidR="00A4305D" w:rsidRPr="003D67A2" w:rsidRDefault="00A4305D" w:rsidP="003D67A2">
      <w:pPr>
        <w:spacing w:after="120" w:line="360" w:lineRule="auto"/>
        <w:jc w:val="both"/>
        <w:outlineLvl w:val="0"/>
        <w:rPr>
          <w:rFonts w:ascii="Tele-GroteskNor" w:hAnsi="Tele-GroteskNor"/>
        </w:rPr>
      </w:pPr>
    </w:p>
    <w:p w:rsidR="00A4305D" w:rsidRPr="003D67A2" w:rsidRDefault="00A4305D" w:rsidP="003D67A2">
      <w:pPr>
        <w:spacing w:after="120" w:line="360" w:lineRule="auto"/>
        <w:jc w:val="both"/>
        <w:outlineLvl w:val="0"/>
        <w:rPr>
          <w:rFonts w:ascii="Tele-GroteskNor" w:hAnsi="Tele-GroteskNor"/>
        </w:rPr>
      </w:pPr>
    </w:p>
    <w:p w:rsidR="00C53585" w:rsidRPr="003D67A2" w:rsidRDefault="00A4305D" w:rsidP="003D67A2">
      <w:pPr>
        <w:spacing w:after="120" w:line="360" w:lineRule="auto"/>
        <w:jc w:val="both"/>
        <w:outlineLvl w:val="0"/>
        <w:rPr>
          <w:rFonts w:ascii="Tele-GroteskNor" w:hAnsi="Tele-GroteskNor"/>
        </w:rPr>
      </w:pPr>
      <w:r>
        <w:br w:type="page"/>
      </w:r>
    </w:p>
    <w:p w:rsidR="0026394F" w:rsidRPr="00EA5CE7" w:rsidRDefault="003D0222" w:rsidP="0026394F">
      <w:pPr>
        <w:spacing w:after="120" w:line="360" w:lineRule="auto"/>
        <w:ind w:firstLine="567"/>
        <w:jc w:val="both"/>
        <w:outlineLvl w:val="0"/>
        <w:rPr>
          <w:rFonts w:ascii="Tele-GroteskNor" w:hAnsi="Tele-GroteskNor"/>
          <w:sz w:val="24"/>
          <w:szCs w:val="24"/>
        </w:rPr>
      </w:pPr>
      <w:bookmarkStart w:id="0" w:name="_Toc454540014"/>
      <w:r w:rsidRPr="00EA5CE7">
        <w:rPr>
          <w:rFonts w:ascii="Tele-GroteskNor" w:hAnsi="Tele-GroteskNor"/>
          <w:sz w:val="24"/>
          <w:szCs w:val="24"/>
        </w:rPr>
        <w:lastRenderedPageBreak/>
        <w:t xml:space="preserve">Deutsche Telekom AG (DT) se félicite de l'occasion qui lui est donnée de formuler ses observations dans le cadre de la consultation publique de l'ARCEP sur l'autorisation d'éléments terrestres complémentaires au service mobile par satellite en bande 2 GHz pour la société Inmarsat Ventures Limited. En tant que partenaire commercial d'Inmarsat, DT a déjà investi des sommes d'argent considérables dans ce projet phare paneuropéen exceptionnel et novateur. </w:t>
      </w:r>
      <w:bookmarkEnd w:id="0"/>
      <w:r w:rsidRPr="00EA5CE7">
        <w:rPr>
          <w:rFonts w:ascii="Tele-GroteskNor" w:hAnsi="Tele-GroteskNor"/>
          <w:sz w:val="24"/>
          <w:szCs w:val="24"/>
        </w:rPr>
        <w:t xml:space="preserve">De ce fait, DT soutient sans réserve le projet d'autorisation et se félicite de la décision de l'ARCEP. </w:t>
      </w:r>
    </w:p>
    <w:p w:rsidR="006779CC" w:rsidRPr="00EA5CE7" w:rsidRDefault="00826503" w:rsidP="003D67A2">
      <w:pPr>
        <w:spacing w:after="120" w:line="360" w:lineRule="auto"/>
        <w:ind w:firstLine="567"/>
        <w:jc w:val="both"/>
        <w:outlineLvl w:val="0"/>
        <w:rPr>
          <w:rFonts w:ascii="Tele-GroteskNor" w:hAnsi="Tele-GroteskNor"/>
          <w:sz w:val="24"/>
          <w:szCs w:val="24"/>
        </w:rPr>
      </w:pPr>
      <w:bookmarkStart w:id="1" w:name="_Toc454540015"/>
      <w:r w:rsidRPr="00EA5CE7">
        <w:rPr>
          <w:rFonts w:ascii="Tele-GroteskNor" w:hAnsi="Tele-GroteskNor"/>
          <w:sz w:val="24"/>
          <w:szCs w:val="24"/>
        </w:rPr>
        <w:t>Dans les organes de la CEPT, les débats autour de la création d'une solution Air-to-Ground (ATG) sur le marché de la connectivité aéronautique ont une longue histoire avec la DA2G (Direct-Air-to-Ground). C'est ici qu'a été créée la base juridique pour mettre à disposition une telle solution à l'industrie aéronautique, laquelle en est depuis des années déjà en demande. En ralliant la composante satellitaire et la composante terrestre sur la même fréquence, Inmarsat et DT ont pu créer un système hybride qui représente une solution unique au monde pour la connectivité aéronautique et qui est suivie avec intérêt en dehors de l'Europe également. Cette solution allie le meilleur des deux mondes (couverture du satellite et capacité de la téléphonie mobile) de la manière la plus novatrice au service des clients en Europe.</w:t>
      </w:r>
      <w:bookmarkEnd w:id="1"/>
    </w:p>
    <w:p w:rsidR="00CF23D5" w:rsidRPr="00EA5CE7" w:rsidRDefault="002A3A0A" w:rsidP="003D67A2">
      <w:pPr>
        <w:pStyle w:val="berschrift2"/>
        <w:spacing w:before="0" w:after="120" w:line="360" w:lineRule="auto"/>
        <w:ind w:firstLine="567"/>
        <w:jc w:val="both"/>
        <w:rPr>
          <w:rFonts w:ascii="Tele-GroteskNor" w:hAnsi="Tele-GroteskNor"/>
          <w:color w:val="auto"/>
          <w:sz w:val="24"/>
          <w:szCs w:val="24"/>
        </w:rPr>
      </w:pPr>
      <w:bookmarkStart w:id="2" w:name="_Toc454540070"/>
      <w:r w:rsidRPr="00EA5CE7">
        <w:rPr>
          <w:rFonts w:ascii="Tele-GroteskNor" w:hAnsi="Tele-GroteskNor"/>
          <w:color w:val="auto"/>
          <w:sz w:val="24"/>
          <w:szCs w:val="24"/>
        </w:rPr>
        <w:t xml:space="preserve">L'EAN (Réseau d'aviation européen) est une technologie toute nouvelle. Nulle part ailleurs dans le monde, il n'existe à ce jour de réseaux hybrides entre les satellites et les systèmes de téléphonie mobile, qui utilisent les mêmes bandes de fréquences. Ce projet est donc un projet phare pour l'industrie européenne d'autant plus que toutes les entreprises participantes résident aussi en Europe. Par ce choix d'une licence paneuropéenne pour avoir accès aux fréquences de la bande MSS dotés d'éléments terrestres complémentaires (CGC), l'Union européenne a posé les jalons de la création de ce réseau novateur. Sans cette décision, un système de communication avec une couverture paneuropéenne pour tous les ressortissants de l'Union européenne (plus la Norvège et la </w:t>
      </w:r>
      <w:r w:rsidR="00755716" w:rsidRPr="00EA5CE7">
        <w:rPr>
          <w:rFonts w:ascii="Tele-GroteskNor" w:hAnsi="Tele-GroteskNor"/>
          <w:color w:val="auto"/>
          <w:sz w:val="24"/>
          <w:szCs w:val="24"/>
        </w:rPr>
        <w:t xml:space="preserve">Suisse) aurait été impensable. </w:t>
      </w:r>
      <w:r w:rsidRPr="00EA5CE7">
        <w:rPr>
          <w:rFonts w:ascii="Tele-GroteskNor" w:hAnsi="Tele-GroteskNor"/>
          <w:color w:val="auto"/>
          <w:sz w:val="24"/>
          <w:szCs w:val="24"/>
        </w:rPr>
        <w:t>Le modèle commercial que représente Inmarsat crée ainsi, avec le réseau au sol complémentaire de DT, un véritable service de télécommunications au-delà les frontières, renforçant le marché intérieur européen.</w:t>
      </w:r>
      <w:bookmarkEnd w:id="2"/>
    </w:p>
    <w:p w:rsidR="0055007B" w:rsidRPr="00EA5CE7" w:rsidRDefault="004744E5" w:rsidP="003D67A2">
      <w:pPr>
        <w:spacing w:after="120" w:line="360" w:lineRule="auto"/>
        <w:ind w:firstLine="567"/>
        <w:jc w:val="both"/>
        <w:outlineLvl w:val="0"/>
        <w:rPr>
          <w:rFonts w:ascii="Tele-GroteskNor" w:hAnsi="Tele-GroteskNor"/>
          <w:sz w:val="24"/>
          <w:szCs w:val="24"/>
        </w:rPr>
      </w:pPr>
      <w:bookmarkStart w:id="3" w:name="_Toc454540071"/>
      <w:r w:rsidRPr="00EA5CE7">
        <w:rPr>
          <w:rFonts w:ascii="Tele-GroteskNor" w:hAnsi="Tele-GroteskNor"/>
          <w:sz w:val="24"/>
          <w:szCs w:val="24"/>
        </w:rPr>
        <w:t xml:space="preserve">Par ailleurs, l'EAN renforce la concurrence du marché de la connectivité </w:t>
      </w:r>
      <w:r w:rsidR="00755716" w:rsidRPr="00EA5CE7">
        <w:rPr>
          <w:rFonts w:ascii="Tele-GroteskNor" w:hAnsi="Tele-GroteskNor"/>
          <w:sz w:val="24"/>
          <w:szCs w:val="24"/>
        </w:rPr>
        <w:t>aéronautique</w:t>
      </w:r>
      <w:r w:rsidRPr="00EA5CE7">
        <w:rPr>
          <w:rFonts w:ascii="Tele-GroteskNor" w:hAnsi="Tele-GroteskNor"/>
          <w:sz w:val="24"/>
          <w:szCs w:val="24"/>
        </w:rPr>
        <w:t>. Par son caractère novateur, l'EAN complète parfaitement l'offre qui existe actuellement sur le marché. Des études de marché révèlent la forte demande des compagnies aériennes qui cherchent à répondre aux besoins en connectivité de leurs passagers. Voici un ordre de grandeur de la demande : d'ici à 2020, 5 000 avions supplémentaires devraient être exploités sur le marché européen, transportant 5 millions de clients par jour.</w:t>
      </w:r>
      <w:bookmarkEnd w:id="3"/>
    </w:p>
    <w:p w:rsidR="002C6C3F" w:rsidRPr="00EA5CE7" w:rsidRDefault="002C6C3F" w:rsidP="003D67A2">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t>L'aide complète à la consultation évoquée au premier paragraphe repose essentiellement sur les arguments qui suivent :</w:t>
      </w:r>
    </w:p>
    <w:p w:rsidR="002C6C3F" w:rsidRPr="00EA5CE7" w:rsidRDefault="002C6C3F"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lastRenderedPageBreak/>
        <w:t>Toutes les dispositions et prescriptions réglementaires sont respectées par l'EAN : l’exploitation prévue répond pleinement à toutes les exigences associées à la décision de la Commission 2007/98/CE et à la décision 626/2008/CE du Conseil européen et du Parlement européen. En voici le résumé :</w:t>
      </w:r>
    </w:p>
    <w:p w:rsidR="00571E2A" w:rsidRPr="00EA5CE7" w:rsidRDefault="003A0E14" w:rsidP="003D67A2">
      <w:pPr>
        <w:pStyle w:val="Listenabsatz"/>
        <w:numPr>
          <w:ilvl w:val="1"/>
          <w:numId w:val="21"/>
        </w:numPr>
        <w:spacing w:after="120" w:line="360" w:lineRule="auto"/>
        <w:ind w:left="1134" w:hanging="283"/>
        <w:jc w:val="both"/>
        <w:outlineLvl w:val="0"/>
        <w:rPr>
          <w:rFonts w:ascii="Tele-GroteskNor" w:hAnsi="Tele-GroteskNor"/>
          <w:sz w:val="24"/>
          <w:szCs w:val="24"/>
        </w:rPr>
      </w:pPr>
      <w:r w:rsidRPr="00EA5CE7">
        <w:rPr>
          <w:rFonts w:ascii="Tele-GroteskNor" w:hAnsi="Tele-GroteskNor"/>
          <w:sz w:val="24"/>
          <w:szCs w:val="24"/>
        </w:rPr>
        <w:t>Les CGC (éléments terrestres complémentaires) font partie intégrante des MSS</w:t>
      </w:r>
    </w:p>
    <w:p w:rsidR="003A0E14" w:rsidRPr="00EA5CE7" w:rsidRDefault="003A0E14" w:rsidP="003D67A2">
      <w:pPr>
        <w:pStyle w:val="Listenabsatz"/>
        <w:numPr>
          <w:ilvl w:val="1"/>
          <w:numId w:val="21"/>
        </w:numPr>
        <w:spacing w:after="120" w:line="360" w:lineRule="auto"/>
        <w:ind w:left="1134" w:hanging="283"/>
        <w:jc w:val="both"/>
        <w:outlineLvl w:val="0"/>
        <w:rPr>
          <w:rFonts w:ascii="Tele-GroteskNor" w:hAnsi="Tele-GroteskNor"/>
          <w:sz w:val="24"/>
          <w:szCs w:val="24"/>
        </w:rPr>
      </w:pPr>
      <w:r w:rsidRPr="00EA5CE7">
        <w:rPr>
          <w:rFonts w:ascii="Tele-GroteskNor" w:hAnsi="Tele-GroteskNor"/>
          <w:sz w:val="24"/>
          <w:szCs w:val="24"/>
        </w:rPr>
        <w:t xml:space="preserve">Les CGC sont </w:t>
      </w:r>
      <w:proofErr w:type="gramStart"/>
      <w:r w:rsidRPr="00EA5CE7">
        <w:rPr>
          <w:rFonts w:ascii="Tele-GroteskNor" w:hAnsi="Tele-GroteskNor"/>
          <w:sz w:val="24"/>
          <w:szCs w:val="24"/>
        </w:rPr>
        <w:t>exploités</w:t>
      </w:r>
      <w:proofErr w:type="gramEnd"/>
      <w:r w:rsidRPr="00EA5CE7">
        <w:rPr>
          <w:rFonts w:ascii="Tele-GroteskNor" w:hAnsi="Tele-GroteskNor"/>
          <w:sz w:val="24"/>
          <w:szCs w:val="24"/>
        </w:rPr>
        <w:t xml:space="preserve"> par le système de gestion des ressources et du réseau des services mobiles par satellites</w:t>
      </w:r>
    </w:p>
    <w:p w:rsidR="003A0E14" w:rsidRPr="00EA5CE7" w:rsidRDefault="003A0E14" w:rsidP="003D67A2">
      <w:pPr>
        <w:pStyle w:val="Listenabsatz"/>
        <w:numPr>
          <w:ilvl w:val="1"/>
          <w:numId w:val="21"/>
        </w:numPr>
        <w:spacing w:after="120" w:line="360" w:lineRule="auto"/>
        <w:ind w:left="1134" w:hanging="283"/>
        <w:jc w:val="both"/>
        <w:outlineLvl w:val="0"/>
        <w:rPr>
          <w:rFonts w:ascii="Tele-GroteskNor" w:hAnsi="Tele-GroteskNor"/>
          <w:sz w:val="24"/>
          <w:szCs w:val="24"/>
        </w:rPr>
      </w:pPr>
      <w:r w:rsidRPr="00EA5CE7">
        <w:rPr>
          <w:rFonts w:ascii="Tele-GroteskNor" w:hAnsi="Tele-GroteskNor"/>
          <w:sz w:val="24"/>
          <w:szCs w:val="24"/>
        </w:rPr>
        <w:t>Les CGC utilisent les mêmes fréquences et le même sens de transmission que le réseau par satellite</w:t>
      </w:r>
    </w:p>
    <w:p w:rsidR="003A0E14" w:rsidRPr="00EA5CE7" w:rsidRDefault="003A0E14" w:rsidP="003D67A2">
      <w:pPr>
        <w:pStyle w:val="Listenabsatz"/>
        <w:numPr>
          <w:ilvl w:val="1"/>
          <w:numId w:val="21"/>
        </w:numPr>
        <w:spacing w:after="120" w:line="360" w:lineRule="auto"/>
        <w:ind w:left="1134" w:hanging="283"/>
        <w:jc w:val="both"/>
        <w:outlineLvl w:val="0"/>
        <w:rPr>
          <w:rFonts w:ascii="Tele-GroteskNor" w:hAnsi="Tele-GroteskNor"/>
          <w:sz w:val="24"/>
          <w:szCs w:val="24"/>
        </w:rPr>
      </w:pPr>
      <w:r w:rsidRPr="00EA5CE7">
        <w:rPr>
          <w:rFonts w:ascii="Tele-GroteskNor" w:hAnsi="Tele-GroteskNor"/>
          <w:sz w:val="24"/>
          <w:szCs w:val="24"/>
        </w:rPr>
        <w:t>Les CGC n'augmentent pas le besoin en fréquences</w:t>
      </w:r>
    </w:p>
    <w:p w:rsidR="003A0E14" w:rsidRPr="00EA5CE7" w:rsidRDefault="002C6C3F"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t>En tant que première offre de connectivité paneuropéenne, l'EAN contribue de façon décisive au développement du marché intérieur européen du secteur des télécommunications et répond, par la création de cette nouvelle plateforme novatrice, à l'intention première des licences.</w:t>
      </w:r>
    </w:p>
    <w:p w:rsidR="004D591D" w:rsidRPr="00EA5CE7" w:rsidRDefault="00D218E3"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t>Conformément à l'article 4 de la décision, l'EAN respecte toutes les exigences techniques pour la protection d'autres services des bandes de fréquence voisines. Toutes les mesures exposées dans le rapport 233 du Comité des communications électroniques (ECC) et destinées à réduire au maximum les interférences, sont techniquement réalisables et intégrées entièrement dans le réseau EAN prévu. Ainsi, l'opérateur mobile qui utilise la bande de fréquence 1920-1980 MHz n'aura pas de perturbations.</w:t>
      </w:r>
    </w:p>
    <w:p w:rsidR="004D591D" w:rsidRPr="00EA5CE7" w:rsidRDefault="004D591D"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t>Toutes les normes ETSI citées en annexe à la décision de l’ARCEP seront respectées par l'équipement utilisé (antennes terrestres LTE, antenne CGC, OBE, antennes satellites MSS).</w:t>
      </w:r>
    </w:p>
    <w:p w:rsidR="00081A7A" w:rsidRPr="00EA5CE7" w:rsidRDefault="004D591D"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t xml:space="preserve"> Cette offre exceptionnelle qu'est l'EAN renforce la concurrence sur le marché de la connectivité du transport aérien et couvre depuis longtemps déjà, les besoins des compagnies aériennes.</w:t>
      </w:r>
    </w:p>
    <w:p w:rsidR="00397D46" w:rsidRPr="00EA5CE7" w:rsidRDefault="00397D46" w:rsidP="003D67A2">
      <w:pPr>
        <w:pStyle w:val="Listenabsatz"/>
        <w:numPr>
          <w:ilvl w:val="0"/>
          <w:numId w:val="21"/>
        </w:numPr>
        <w:spacing w:after="120" w:line="360" w:lineRule="auto"/>
        <w:ind w:left="851" w:hanging="284"/>
        <w:jc w:val="both"/>
        <w:outlineLvl w:val="0"/>
        <w:rPr>
          <w:rFonts w:ascii="Tele-GroteskNor" w:hAnsi="Tele-GroteskNor"/>
          <w:sz w:val="24"/>
          <w:szCs w:val="24"/>
        </w:rPr>
      </w:pPr>
      <w:r w:rsidRPr="00EA5CE7">
        <w:rPr>
          <w:rFonts w:ascii="Tele-GroteskNor" w:hAnsi="Tele-GroteskNor"/>
          <w:sz w:val="24"/>
          <w:szCs w:val="24"/>
        </w:rPr>
        <w:t xml:space="preserve">L'EAN n'influence pas non plus le marché de la téléphonie mobile terrestre parce que l'exploitation des composants au sol est entièrement </w:t>
      </w:r>
      <w:proofErr w:type="gramStart"/>
      <w:r w:rsidRPr="00EA5CE7">
        <w:rPr>
          <w:rFonts w:ascii="Tele-GroteskNor" w:hAnsi="Tele-GroteskNor"/>
          <w:sz w:val="24"/>
          <w:szCs w:val="24"/>
        </w:rPr>
        <w:t>indépendantes</w:t>
      </w:r>
      <w:proofErr w:type="gramEnd"/>
      <w:r w:rsidRPr="00EA5CE7">
        <w:rPr>
          <w:rFonts w:ascii="Tele-GroteskNor" w:hAnsi="Tele-GroteskNor"/>
          <w:sz w:val="24"/>
          <w:szCs w:val="24"/>
        </w:rPr>
        <w:t xml:space="preserve"> des réseaux de téléphonie mobile terrestres. Il en est de même pour les données des participants. Par ailleurs, le réseau n'est pas conçu pour la couverture terrestre dans la mesure où les antennes sont orientées vers le haut contrairement aux réseaux de téléphonie mobile. De plus, les connexions proposées sont uniquement B2B et non B2C (connexion de l'avion et non du client). Le client à bord de l'avion dispose d'une connexion Wi-Fi.</w:t>
      </w:r>
    </w:p>
    <w:p w:rsidR="00081A7A" w:rsidRPr="00EA5CE7" w:rsidRDefault="00081A7A" w:rsidP="003D67A2">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t>Pour les raisons susmentionnées, Deutsche Telekom AG approuve sans réserve le projet d'autorisation de l'ARCEP.</w:t>
      </w:r>
    </w:p>
    <w:p w:rsidR="0046481A" w:rsidRPr="00EA5CE7" w:rsidRDefault="0026394F" w:rsidP="0026394F">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lastRenderedPageBreak/>
        <w:t>Enfin, Deutsche Telekom</w:t>
      </w:r>
      <w:bookmarkStart w:id="4" w:name="_GoBack"/>
      <w:bookmarkEnd w:id="4"/>
      <w:r w:rsidRPr="00EA5CE7">
        <w:rPr>
          <w:rFonts w:ascii="Tele-GroteskNor" w:hAnsi="Tele-GroteskNor"/>
          <w:sz w:val="24"/>
          <w:szCs w:val="24"/>
        </w:rPr>
        <w:t xml:space="preserve"> précise que l'article 1 e la décision prévoit un sens d'émission des fréquences contraire à la décision ECC DEC 626/2008. Rappelons la teneur de l'article 1, paragraphe 2 de la décision ECC DEC 626/2008 : </w:t>
      </w:r>
    </w:p>
    <w:p w:rsidR="0026394F" w:rsidRPr="00EA5CE7" w:rsidRDefault="0026394F" w:rsidP="0026394F">
      <w:pPr>
        <w:spacing w:after="120" w:line="360" w:lineRule="auto"/>
        <w:ind w:firstLine="567"/>
        <w:jc w:val="both"/>
        <w:outlineLvl w:val="0"/>
        <w:rPr>
          <w:rFonts w:ascii="Tele-GroteskNor" w:hAnsi="Tele-GroteskNor"/>
          <w:i/>
          <w:sz w:val="24"/>
          <w:szCs w:val="24"/>
          <w:lang w:val="en-US"/>
        </w:rPr>
      </w:pPr>
      <w:r w:rsidRPr="00EA5CE7">
        <w:rPr>
          <w:rFonts w:ascii="Tele-GroteskNor" w:hAnsi="Tele-GroteskNor"/>
          <w:i/>
          <w:sz w:val="24"/>
          <w:szCs w:val="24"/>
          <w:lang w:val="en-US"/>
        </w:rPr>
        <w:t>„This Decision creates a Community procedure for the common</w:t>
      </w:r>
    </w:p>
    <w:p w:rsidR="0026394F" w:rsidRPr="00EA5CE7" w:rsidRDefault="0026394F" w:rsidP="0026394F">
      <w:pPr>
        <w:spacing w:after="120" w:line="360" w:lineRule="auto"/>
        <w:ind w:firstLine="567"/>
        <w:jc w:val="both"/>
        <w:outlineLvl w:val="0"/>
        <w:rPr>
          <w:rFonts w:ascii="Tele-GroteskNor" w:hAnsi="Tele-GroteskNor"/>
          <w:i/>
          <w:sz w:val="24"/>
          <w:szCs w:val="24"/>
          <w:lang w:val="en-US"/>
        </w:rPr>
      </w:pPr>
      <w:r w:rsidRPr="00EA5CE7">
        <w:rPr>
          <w:rFonts w:ascii="Tele-GroteskNor" w:hAnsi="Tele-GroteskNor"/>
          <w:i/>
          <w:sz w:val="24"/>
          <w:szCs w:val="24"/>
          <w:lang w:val="en-US"/>
        </w:rPr>
        <w:t>selection of operators of mobile satellite systems that use the</w:t>
      </w:r>
    </w:p>
    <w:p w:rsidR="0026394F" w:rsidRPr="00EA5CE7" w:rsidRDefault="0026394F" w:rsidP="0026394F">
      <w:pPr>
        <w:spacing w:after="120" w:line="360" w:lineRule="auto"/>
        <w:ind w:firstLine="567"/>
        <w:jc w:val="both"/>
        <w:outlineLvl w:val="0"/>
        <w:rPr>
          <w:rFonts w:ascii="Tele-GroteskNor" w:hAnsi="Tele-GroteskNor"/>
          <w:i/>
          <w:sz w:val="24"/>
          <w:szCs w:val="24"/>
          <w:lang w:val="en-US"/>
        </w:rPr>
      </w:pPr>
      <w:r w:rsidRPr="00EA5CE7">
        <w:rPr>
          <w:rFonts w:ascii="Tele-GroteskNor" w:hAnsi="Tele-GroteskNor"/>
          <w:i/>
          <w:sz w:val="24"/>
          <w:szCs w:val="24"/>
          <w:lang w:val="en-US"/>
        </w:rPr>
        <w:t>2 GHz frequency band in accordance with Decision</w:t>
      </w:r>
    </w:p>
    <w:p w:rsidR="0026394F" w:rsidRPr="00EA5CE7" w:rsidRDefault="0026394F" w:rsidP="0026394F">
      <w:pPr>
        <w:spacing w:after="120" w:line="360" w:lineRule="auto"/>
        <w:ind w:firstLine="567"/>
        <w:jc w:val="both"/>
        <w:outlineLvl w:val="0"/>
        <w:rPr>
          <w:rFonts w:ascii="Tele-GroteskNor" w:hAnsi="Tele-GroteskNor"/>
          <w:b/>
          <w:i/>
          <w:sz w:val="24"/>
          <w:szCs w:val="24"/>
          <w:lang w:val="en-US"/>
        </w:rPr>
      </w:pPr>
      <w:r w:rsidRPr="00EA5CE7">
        <w:rPr>
          <w:rFonts w:ascii="Tele-GroteskNor" w:hAnsi="Tele-GroteskNor"/>
          <w:i/>
          <w:sz w:val="24"/>
          <w:szCs w:val="24"/>
          <w:lang w:val="en-US"/>
        </w:rPr>
        <w:t xml:space="preserve">2007/98/EC, comprising radio spectrum from </w:t>
      </w:r>
      <w:r w:rsidRPr="00EA5CE7">
        <w:rPr>
          <w:rFonts w:ascii="Tele-GroteskNor" w:hAnsi="Tele-GroteskNor"/>
          <w:b/>
          <w:i/>
          <w:sz w:val="24"/>
          <w:szCs w:val="24"/>
          <w:lang w:val="en-US"/>
        </w:rPr>
        <w:t>1 980 to 2 010</w:t>
      </w:r>
    </w:p>
    <w:p w:rsidR="0026394F" w:rsidRPr="00EA5CE7" w:rsidRDefault="0026394F" w:rsidP="0026394F">
      <w:pPr>
        <w:spacing w:after="120" w:line="360" w:lineRule="auto"/>
        <w:ind w:firstLine="567"/>
        <w:jc w:val="both"/>
        <w:outlineLvl w:val="0"/>
        <w:rPr>
          <w:rFonts w:ascii="Tele-GroteskNor" w:hAnsi="Tele-GroteskNor"/>
          <w:b/>
          <w:i/>
          <w:sz w:val="24"/>
          <w:szCs w:val="24"/>
          <w:lang w:val="en-US"/>
        </w:rPr>
      </w:pPr>
      <w:r w:rsidRPr="00EA5CE7">
        <w:rPr>
          <w:rFonts w:ascii="Tele-GroteskNor" w:hAnsi="Tele-GroteskNor"/>
          <w:b/>
          <w:i/>
          <w:sz w:val="24"/>
          <w:szCs w:val="24"/>
          <w:lang w:val="en-US"/>
        </w:rPr>
        <w:t>MHz for earth to space communications, and from 2 170 to</w:t>
      </w:r>
    </w:p>
    <w:p w:rsidR="0026394F" w:rsidRPr="00EA5CE7" w:rsidRDefault="0026394F" w:rsidP="0026394F">
      <w:pPr>
        <w:spacing w:after="120" w:line="360" w:lineRule="auto"/>
        <w:ind w:firstLine="567"/>
        <w:jc w:val="both"/>
        <w:outlineLvl w:val="0"/>
        <w:rPr>
          <w:rFonts w:ascii="Tele-GroteskNor" w:hAnsi="Tele-GroteskNor"/>
          <w:i/>
          <w:sz w:val="24"/>
          <w:szCs w:val="24"/>
          <w:lang w:val="en-US"/>
        </w:rPr>
      </w:pPr>
      <w:r w:rsidRPr="00EA5CE7">
        <w:rPr>
          <w:rFonts w:ascii="Tele-GroteskNor" w:hAnsi="Tele-GroteskNor"/>
          <w:b/>
          <w:i/>
          <w:sz w:val="24"/>
          <w:szCs w:val="24"/>
          <w:lang w:val="en-US"/>
        </w:rPr>
        <w:t xml:space="preserve">2 200 MHz for space to Earth </w:t>
      </w:r>
      <w:proofErr w:type="gramStart"/>
      <w:r w:rsidRPr="00EA5CE7">
        <w:rPr>
          <w:rFonts w:ascii="Tele-GroteskNor" w:hAnsi="Tele-GroteskNor"/>
          <w:b/>
          <w:i/>
          <w:sz w:val="24"/>
          <w:szCs w:val="24"/>
          <w:lang w:val="en-US"/>
        </w:rPr>
        <w:t>communications</w:t>
      </w:r>
      <w:r w:rsidRPr="00EA5CE7">
        <w:rPr>
          <w:rFonts w:ascii="Tele-GroteskNor" w:hAnsi="Tele-GroteskNor"/>
          <w:i/>
          <w:sz w:val="24"/>
          <w:szCs w:val="24"/>
          <w:lang w:val="en-US"/>
        </w:rPr>
        <w:t>.“</w:t>
      </w:r>
      <w:proofErr w:type="gramEnd"/>
      <w:r w:rsidRPr="00EA5CE7">
        <w:rPr>
          <w:rFonts w:ascii="Tele-GroteskNor" w:hAnsi="Tele-GroteskNor"/>
          <w:i/>
          <w:sz w:val="24"/>
          <w:szCs w:val="24"/>
          <w:lang w:val="en-US"/>
        </w:rPr>
        <w:t xml:space="preserve"> </w:t>
      </w:r>
    </w:p>
    <w:p w:rsidR="0046481A" w:rsidRPr="00EA5CE7" w:rsidRDefault="0046481A" w:rsidP="0026394F">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t xml:space="preserve">DT propose donc d'adapter en conséquence le texte de l'autorisation définitive à la décision ECC DEC 626/2008 : </w:t>
      </w:r>
    </w:p>
    <w:p w:rsidR="0046481A" w:rsidRPr="00EA5CE7" w:rsidRDefault="0046481A" w:rsidP="0026394F">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t>Bande de fréquences 1980-1995 MHz : sens Terre vers espace (vers le haut)</w:t>
      </w:r>
    </w:p>
    <w:p w:rsidR="0046481A" w:rsidRPr="00EA5CE7" w:rsidRDefault="0046481A" w:rsidP="0026394F">
      <w:pPr>
        <w:spacing w:after="120" w:line="360" w:lineRule="auto"/>
        <w:ind w:firstLine="567"/>
        <w:jc w:val="both"/>
        <w:outlineLvl w:val="0"/>
        <w:rPr>
          <w:rFonts w:ascii="Tele-GroteskNor" w:hAnsi="Tele-GroteskNor"/>
          <w:sz w:val="24"/>
          <w:szCs w:val="24"/>
        </w:rPr>
      </w:pPr>
      <w:r w:rsidRPr="00EA5CE7">
        <w:rPr>
          <w:rFonts w:ascii="Tele-GroteskNor" w:hAnsi="Tele-GroteskNor"/>
          <w:sz w:val="24"/>
          <w:szCs w:val="24"/>
        </w:rPr>
        <w:t>Bande de fréquences 2170-2185 MHz : sens espace vers Terre (vers le bas)</w:t>
      </w:r>
    </w:p>
    <w:p w:rsidR="002C6C3F" w:rsidRPr="00EA5CE7" w:rsidRDefault="0046481A" w:rsidP="003D67A2">
      <w:pPr>
        <w:spacing w:after="120" w:line="360" w:lineRule="auto"/>
        <w:jc w:val="both"/>
        <w:outlineLvl w:val="0"/>
        <w:rPr>
          <w:rFonts w:ascii="Tele-GroteskNor" w:hAnsi="Tele-GroteskNor"/>
          <w:sz w:val="24"/>
          <w:szCs w:val="24"/>
        </w:rPr>
      </w:pPr>
      <w:r w:rsidRPr="00EA5CE7">
        <w:rPr>
          <w:rFonts w:ascii="Tele-GroteskNor" w:hAnsi="Tele-GroteskNor"/>
          <w:sz w:val="24"/>
          <w:szCs w:val="24"/>
        </w:rPr>
        <w:t>Le nouvel article 1 de la décision se présente comme suit :</w:t>
      </w:r>
    </w:p>
    <w:p w:rsidR="0046481A" w:rsidRPr="00EA5CE7" w:rsidRDefault="0046481A" w:rsidP="003D67A2">
      <w:pPr>
        <w:spacing w:after="120" w:line="360" w:lineRule="auto"/>
        <w:jc w:val="both"/>
        <w:outlineLvl w:val="0"/>
        <w:rPr>
          <w:rFonts w:ascii="Tele-GroteskNor" w:hAnsi="Tele-GroteskNor"/>
          <w:i/>
          <w:sz w:val="24"/>
          <w:szCs w:val="24"/>
        </w:rPr>
      </w:pPr>
      <w:r w:rsidRPr="00EA5CE7">
        <w:rPr>
          <w:rFonts w:ascii="Tele-GroteskNor" w:hAnsi="Tele-GroteskNor"/>
          <w:i/>
          <w:sz w:val="24"/>
          <w:szCs w:val="24"/>
        </w:rPr>
        <w:t>Article 1 La société Inmarsat Ventures Limited est autorisée à utiliser les fréquences radioélectriques attribuées dans les bandes 1980-1995 MHz dans le sens Terre vers espace et 2170-2185 MHz dans le sens espace vers Terre par la décision de l’</w:t>
      </w:r>
      <w:proofErr w:type="spellStart"/>
      <w:r w:rsidRPr="00EA5CE7">
        <w:rPr>
          <w:rFonts w:ascii="Tele-GroteskNor" w:hAnsi="Tele-GroteskNor"/>
          <w:i/>
          <w:sz w:val="24"/>
          <w:szCs w:val="24"/>
        </w:rPr>
        <w:t>Arcep</w:t>
      </w:r>
      <w:proofErr w:type="spellEnd"/>
      <w:r w:rsidRPr="00EA5CE7">
        <w:rPr>
          <w:rFonts w:ascii="Tele-GroteskNor" w:hAnsi="Tele-GroteskNor"/>
          <w:i/>
          <w:sz w:val="24"/>
          <w:szCs w:val="24"/>
        </w:rPr>
        <w:t xml:space="preserve"> n° 2014-1257 susvisée pour établir et exploiter, en France métropolitaine, des éléments terrestres complémentaires au réseau radioélectrique ouvert au public du service mobile par satellite mentionné par cette décision.</w:t>
      </w:r>
    </w:p>
    <w:sectPr w:rsidR="0046481A" w:rsidRPr="00EA5CE7" w:rsidSect="0054053C">
      <w:footerReference w:type="default" r:id="rId8"/>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3176" w:rsidRDefault="00263176" w:rsidP="007B274B">
      <w:pPr>
        <w:spacing w:after="0" w:line="240" w:lineRule="auto"/>
      </w:pPr>
      <w:r>
        <w:separator/>
      </w:r>
    </w:p>
  </w:endnote>
  <w:endnote w:type="continuationSeparator" w:id="0">
    <w:p w:rsidR="00263176" w:rsidRDefault="00263176" w:rsidP="007B27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ele-GroteskNor">
    <w:panose1 w:val="00000000000000000000"/>
    <w:charset w:val="00"/>
    <w:family w:val="auto"/>
    <w:pitch w:val="variable"/>
    <w:sig w:usb0="A00002AF" w:usb1="1000204B" w:usb2="00000000" w:usb3="00000000" w:csb0="000000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8364"/>
      <w:gridCol w:w="708"/>
    </w:tblGrid>
    <w:sdt>
      <w:sdtPr>
        <w:rPr>
          <w:rFonts w:asciiTheme="majorHAnsi" w:eastAsiaTheme="majorEastAsia" w:hAnsiTheme="majorHAnsi" w:cstheme="majorBidi"/>
          <w:sz w:val="20"/>
          <w:szCs w:val="20"/>
        </w:rPr>
        <w:id w:val="-1301610618"/>
        <w:docPartObj>
          <w:docPartGallery w:val="Page Numbers (Bottom of Page)"/>
          <w:docPartUnique/>
        </w:docPartObj>
      </w:sdtPr>
      <w:sdtEndPr>
        <w:rPr>
          <w:rFonts w:asciiTheme="minorHAnsi" w:eastAsiaTheme="minorHAnsi" w:hAnsiTheme="minorHAnsi" w:cstheme="minorBidi"/>
          <w:sz w:val="22"/>
          <w:szCs w:val="22"/>
        </w:rPr>
      </w:sdtEndPr>
      <w:sdtContent>
        <w:tr w:rsidR="00410055" w:rsidTr="00F10B16">
          <w:trPr>
            <w:trHeight w:val="727"/>
          </w:trPr>
          <w:tc>
            <w:tcPr>
              <w:tcW w:w="4610" w:type="pct"/>
              <w:tcBorders>
                <w:right w:val="triple" w:sz="4" w:space="0" w:color="E20074"/>
              </w:tcBorders>
            </w:tcPr>
            <w:p w:rsidR="00410055" w:rsidRDefault="00410055">
              <w:pPr>
                <w:tabs>
                  <w:tab w:val="left" w:pos="620"/>
                  <w:tab w:val="center" w:pos="4320"/>
                </w:tabs>
                <w:jc w:val="right"/>
                <w:rPr>
                  <w:rFonts w:asciiTheme="majorHAnsi" w:eastAsiaTheme="majorEastAsia" w:hAnsiTheme="majorHAnsi" w:cstheme="majorBidi"/>
                  <w:sz w:val="20"/>
                  <w:szCs w:val="20"/>
                </w:rPr>
              </w:pPr>
            </w:p>
          </w:tc>
          <w:tc>
            <w:tcPr>
              <w:tcW w:w="390" w:type="pct"/>
              <w:tcBorders>
                <w:left w:val="triple" w:sz="4" w:space="0" w:color="E20074"/>
              </w:tcBorders>
            </w:tcPr>
            <w:p w:rsidR="00410055" w:rsidRDefault="00B4733A">
              <w:pPr>
                <w:tabs>
                  <w:tab w:val="left" w:pos="1490"/>
                </w:tabs>
                <w:rPr>
                  <w:rFonts w:asciiTheme="majorHAnsi" w:eastAsiaTheme="majorEastAsia" w:hAnsiTheme="majorHAnsi" w:cstheme="majorBidi"/>
                  <w:sz w:val="28"/>
                  <w:szCs w:val="28"/>
                </w:rPr>
              </w:pPr>
              <w:r>
                <w:fldChar w:fldCharType="begin"/>
              </w:r>
              <w:r w:rsidR="00FD0ACD">
                <w:instrText>PAGE    \* MERGEFORMAT</w:instrText>
              </w:r>
              <w:r>
                <w:fldChar w:fldCharType="separate"/>
              </w:r>
              <w:r w:rsidR="00EA5CE7">
                <w:rPr>
                  <w:noProof/>
                </w:rPr>
                <w:t>2</w:t>
              </w:r>
              <w:r>
                <w:rPr>
                  <w:noProof/>
                </w:rPr>
                <w:fldChar w:fldCharType="end"/>
              </w:r>
            </w:p>
          </w:tc>
        </w:tr>
      </w:sdtContent>
    </w:sdt>
  </w:tbl>
  <w:p w:rsidR="00410055" w:rsidRDefault="0041005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3176" w:rsidRDefault="00263176" w:rsidP="007B274B">
      <w:pPr>
        <w:spacing w:after="0" w:line="240" w:lineRule="auto"/>
      </w:pPr>
      <w:r>
        <w:separator/>
      </w:r>
    </w:p>
  </w:footnote>
  <w:footnote w:type="continuationSeparator" w:id="0">
    <w:p w:rsidR="00263176" w:rsidRDefault="00263176" w:rsidP="007B274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C6E29"/>
    <w:multiLevelType w:val="hybridMultilevel"/>
    <w:tmpl w:val="AF446890"/>
    <w:lvl w:ilvl="0" w:tplc="C21A1BB0">
      <w:numFmt w:val="bullet"/>
      <w:lvlText w:val="-"/>
      <w:lvlJc w:val="left"/>
      <w:pPr>
        <w:ind w:left="720" w:hanging="360"/>
      </w:pPr>
      <w:rPr>
        <w:rFonts w:ascii="Calibri" w:eastAsiaTheme="minorHAnsi" w:hAnsi="Calibri" w:cstheme="minorBidi" w:hint="default"/>
      </w:rPr>
    </w:lvl>
    <w:lvl w:ilvl="1" w:tplc="5554FB70">
      <w:start w:val="2"/>
      <w:numFmt w:val="bullet"/>
      <w:lvlText w:val="•"/>
      <w:lvlJc w:val="left"/>
      <w:pPr>
        <w:ind w:left="928" w:hanging="360"/>
      </w:pPr>
      <w:rPr>
        <w:rFonts w:ascii="Calibri" w:eastAsiaTheme="minorHAnsi" w:hAnsi="Calibri" w:cstheme="minorBidi"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BC7509"/>
    <w:multiLevelType w:val="hybridMultilevel"/>
    <w:tmpl w:val="5EBA5E12"/>
    <w:lvl w:ilvl="0" w:tplc="26362AD2">
      <w:start w:val="1"/>
      <w:numFmt w:val="lowerRoman"/>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B2076C6"/>
    <w:multiLevelType w:val="hybridMultilevel"/>
    <w:tmpl w:val="D340E4F6"/>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3" w15:restartNumberingAfterBreak="0">
    <w:nsid w:val="118B248D"/>
    <w:multiLevelType w:val="hybridMultilevel"/>
    <w:tmpl w:val="A658FBEA"/>
    <w:lvl w:ilvl="0" w:tplc="63AC2F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E16AC5"/>
    <w:multiLevelType w:val="hybridMultilevel"/>
    <w:tmpl w:val="7B6C4AF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9A27A4"/>
    <w:multiLevelType w:val="hybridMultilevel"/>
    <w:tmpl w:val="D0A2898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C6DB8"/>
    <w:multiLevelType w:val="hybridMultilevel"/>
    <w:tmpl w:val="3A682C8A"/>
    <w:lvl w:ilvl="0" w:tplc="FD065D12">
      <w:start w:val="1"/>
      <w:numFmt w:val="decimal"/>
      <w:lvlText w:val="%1."/>
      <w:lvlJc w:val="left"/>
      <w:pPr>
        <w:ind w:left="360" w:hanging="360"/>
      </w:pPr>
      <w:rPr>
        <w:rFonts w:hint="default"/>
        <w:b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D3C38C9"/>
    <w:multiLevelType w:val="hybridMultilevel"/>
    <w:tmpl w:val="66425E3C"/>
    <w:lvl w:ilvl="0" w:tplc="C21A1BB0">
      <w:numFmt w:val="bullet"/>
      <w:lvlText w:val="-"/>
      <w:lvlJc w:val="left"/>
      <w:pPr>
        <w:ind w:left="720" w:hanging="360"/>
      </w:pPr>
      <w:rPr>
        <w:rFonts w:ascii="Calibri" w:eastAsiaTheme="minorHAnsi" w:hAnsi="Calibri" w:cstheme="minorBidi" w:hint="default"/>
      </w:rPr>
    </w:lvl>
    <w:lvl w:ilvl="1" w:tplc="5554FB70">
      <w:start w:val="2"/>
      <w:numFmt w:val="bullet"/>
      <w:lvlText w:val="•"/>
      <w:lvlJc w:val="left"/>
      <w:pPr>
        <w:ind w:left="928" w:hanging="360"/>
      </w:pPr>
      <w:rPr>
        <w:rFonts w:ascii="Calibri" w:eastAsiaTheme="minorHAnsi" w:hAnsi="Calibri" w:cstheme="minorBidi"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0A8094D"/>
    <w:multiLevelType w:val="hybridMultilevel"/>
    <w:tmpl w:val="227E9700"/>
    <w:lvl w:ilvl="0" w:tplc="C21A1BB0">
      <w:numFmt w:val="bullet"/>
      <w:lvlText w:val="-"/>
      <w:lvlJc w:val="left"/>
      <w:pPr>
        <w:ind w:left="720" w:hanging="360"/>
      </w:pPr>
      <w:rPr>
        <w:rFonts w:ascii="Calibri" w:eastAsiaTheme="minorHAnsi" w:hAnsi="Calibri"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0D07E2E"/>
    <w:multiLevelType w:val="hybridMultilevel"/>
    <w:tmpl w:val="FBCA415E"/>
    <w:lvl w:ilvl="0" w:tplc="04070011">
      <w:start w:val="1"/>
      <w:numFmt w:val="decimal"/>
      <w:lvlText w:val="%1)"/>
      <w:lvlJc w:val="left"/>
      <w:pPr>
        <w:ind w:left="360" w:hanging="360"/>
      </w:pPr>
    </w:lvl>
    <w:lvl w:ilvl="1" w:tplc="5554FB70">
      <w:start w:val="2"/>
      <w:numFmt w:val="bullet"/>
      <w:lvlText w:val="•"/>
      <w:lvlJc w:val="left"/>
      <w:pPr>
        <w:ind w:left="1425" w:hanging="705"/>
      </w:pPr>
      <w:rPr>
        <w:rFonts w:ascii="Calibri" w:eastAsiaTheme="minorHAnsi" w:hAnsi="Calibri" w:cstheme="minorBidi" w:hint="default"/>
      </w:rPr>
    </w:lvl>
    <w:lvl w:ilvl="2" w:tplc="28B640AA">
      <w:start w:val="1"/>
      <w:numFmt w:val="lowerRoman"/>
      <w:lvlText w:val="%3)"/>
      <w:lvlJc w:val="left"/>
      <w:pPr>
        <w:ind w:left="2340" w:hanging="72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20FD43CD"/>
    <w:multiLevelType w:val="hybridMultilevel"/>
    <w:tmpl w:val="F53EEEE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C7781A"/>
    <w:multiLevelType w:val="hybridMultilevel"/>
    <w:tmpl w:val="6B5C013A"/>
    <w:lvl w:ilvl="0" w:tplc="8BC6C3EA">
      <w:start w:val="2"/>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6756A2A"/>
    <w:multiLevelType w:val="hybridMultilevel"/>
    <w:tmpl w:val="1B2266A6"/>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3" w15:restartNumberingAfterBreak="0">
    <w:nsid w:val="40A95597"/>
    <w:multiLevelType w:val="hybridMultilevel"/>
    <w:tmpl w:val="8EFA7C4C"/>
    <w:lvl w:ilvl="0" w:tplc="663EB042">
      <w:start w:val="1"/>
      <w:numFmt w:val="lowerRoman"/>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A6065D9"/>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3B27364"/>
    <w:multiLevelType w:val="hybridMultilevel"/>
    <w:tmpl w:val="35928FA0"/>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72434285"/>
    <w:multiLevelType w:val="hybridMultilevel"/>
    <w:tmpl w:val="6BDE9F9C"/>
    <w:lvl w:ilvl="0" w:tplc="C21A1BB0">
      <w:numFmt w:val="bullet"/>
      <w:lvlText w:val="-"/>
      <w:lvlJc w:val="left"/>
      <w:pPr>
        <w:ind w:left="720" w:hanging="360"/>
      </w:pPr>
      <w:rPr>
        <w:rFonts w:ascii="Calibri" w:eastAsiaTheme="minorHAnsi" w:hAnsi="Calibri" w:cstheme="minorBidi" w:hint="default"/>
      </w:rPr>
    </w:lvl>
    <w:lvl w:ilvl="1" w:tplc="C21A1BB0">
      <w:numFmt w:val="bullet"/>
      <w:lvlText w:val="-"/>
      <w:lvlJc w:val="left"/>
      <w:pPr>
        <w:ind w:left="928" w:hanging="360"/>
      </w:pPr>
      <w:rPr>
        <w:rFonts w:ascii="Calibri" w:eastAsiaTheme="minorHAnsi" w:hAnsi="Calibri" w:cstheme="minorBidi" w:hint="default"/>
      </w:rPr>
    </w:lvl>
    <w:lvl w:ilvl="2" w:tplc="5554FB70">
      <w:start w:val="2"/>
      <w:numFmt w:val="bullet"/>
      <w:lvlText w:val="•"/>
      <w:lvlJc w:val="left"/>
      <w:pPr>
        <w:ind w:left="2160" w:hanging="360"/>
      </w:pPr>
      <w:rPr>
        <w:rFonts w:ascii="Calibri" w:eastAsiaTheme="minorHAnsi" w:hAnsi="Calibri" w:cstheme="minorBid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44D791A"/>
    <w:multiLevelType w:val="hybridMultilevel"/>
    <w:tmpl w:val="49F82C40"/>
    <w:lvl w:ilvl="0" w:tplc="C21A1BB0">
      <w:numFmt w:val="bullet"/>
      <w:lvlText w:val="-"/>
      <w:lvlJc w:val="left"/>
      <w:pPr>
        <w:ind w:left="720" w:hanging="360"/>
      </w:pPr>
      <w:rPr>
        <w:rFonts w:ascii="Calibri" w:eastAsiaTheme="minorHAnsi" w:hAnsi="Calibri" w:cstheme="minorBidi" w:hint="default"/>
      </w:rPr>
    </w:lvl>
    <w:lvl w:ilvl="1" w:tplc="C21A1BB0">
      <w:numFmt w:val="bullet"/>
      <w:lvlText w:val="-"/>
      <w:lvlJc w:val="left"/>
      <w:pPr>
        <w:ind w:left="928" w:hanging="360"/>
      </w:pPr>
      <w:rPr>
        <w:rFonts w:ascii="Calibri" w:eastAsiaTheme="minorHAnsi" w:hAnsi="Calibri" w:cstheme="minorBidi"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7641457"/>
    <w:multiLevelType w:val="hybridMultilevel"/>
    <w:tmpl w:val="FB7C7AB6"/>
    <w:lvl w:ilvl="0" w:tplc="04070001">
      <w:start w:val="1"/>
      <w:numFmt w:val="bullet"/>
      <w:lvlText w:val=""/>
      <w:lvlJc w:val="left"/>
      <w:pPr>
        <w:ind w:left="1287" w:hanging="360"/>
      </w:pPr>
      <w:rPr>
        <w:rFonts w:ascii="Symbol" w:hAnsi="Symbol" w:hint="default"/>
      </w:rPr>
    </w:lvl>
    <w:lvl w:ilvl="1" w:tplc="C21A1BB0">
      <w:numFmt w:val="bullet"/>
      <w:lvlText w:val="-"/>
      <w:lvlJc w:val="left"/>
      <w:pPr>
        <w:ind w:left="2007" w:hanging="360"/>
      </w:pPr>
      <w:rPr>
        <w:rFonts w:ascii="Calibri" w:eastAsiaTheme="minorHAnsi" w:hAnsi="Calibri" w:cstheme="minorBidi"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9" w15:restartNumberingAfterBreak="0">
    <w:nsid w:val="79173B46"/>
    <w:multiLevelType w:val="hybridMultilevel"/>
    <w:tmpl w:val="4644EE0E"/>
    <w:lvl w:ilvl="0" w:tplc="63AC2F68">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7CF929FE"/>
    <w:multiLevelType w:val="hybridMultilevel"/>
    <w:tmpl w:val="17243EB0"/>
    <w:lvl w:ilvl="0" w:tplc="7A741E8A">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19"/>
  </w:num>
  <w:num w:numId="3">
    <w:abstractNumId w:val="3"/>
  </w:num>
  <w:num w:numId="4">
    <w:abstractNumId w:val="9"/>
  </w:num>
  <w:num w:numId="5">
    <w:abstractNumId w:val="15"/>
  </w:num>
  <w:num w:numId="6">
    <w:abstractNumId w:val="8"/>
  </w:num>
  <w:num w:numId="7">
    <w:abstractNumId w:val="17"/>
  </w:num>
  <w:num w:numId="8">
    <w:abstractNumId w:val="6"/>
  </w:num>
  <w:num w:numId="9">
    <w:abstractNumId w:val="13"/>
  </w:num>
  <w:num w:numId="10">
    <w:abstractNumId w:val="1"/>
  </w:num>
  <w:num w:numId="11">
    <w:abstractNumId w:val="0"/>
  </w:num>
  <w:num w:numId="12">
    <w:abstractNumId w:val="7"/>
  </w:num>
  <w:num w:numId="13">
    <w:abstractNumId w:val="16"/>
  </w:num>
  <w:num w:numId="14">
    <w:abstractNumId w:val="12"/>
  </w:num>
  <w:num w:numId="15">
    <w:abstractNumId w:val="2"/>
  </w:num>
  <w:num w:numId="16">
    <w:abstractNumId w:val="20"/>
  </w:num>
  <w:num w:numId="17">
    <w:abstractNumId w:val="5"/>
  </w:num>
  <w:num w:numId="18">
    <w:abstractNumId w:val="10"/>
  </w:num>
  <w:num w:numId="19">
    <w:abstractNumId w:val="4"/>
  </w:num>
  <w:num w:numId="20">
    <w:abstractNumId w:val="11"/>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2F5"/>
    <w:rsid w:val="00005B1A"/>
    <w:rsid w:val="000211E8"/>
    <w:rsid w:val="00025D58"/>
    <w:rsid w:val="00031020"/>
    <w:rsid w:val="000323DF"/>
    <w:rsid w:val="000410BA"/>
    <w:rsid w:val="00075709"/>
    <w:rsid w:val="00080BD3"/>
    <w:rsid w:val="00081A7A"/>
    <w:rsid w:val="000A2F8D"/>
    <w:rsid w:val="000B0B48"/>
    <w:rsid w:val="000C66E7"/>
    <w:rsid w:val="000F3F89"/>
    <w:rsid w:val="000F4BC2"/>
    <w:rsid w:val="00110D53"/>
    <w:rsid w:val="001341E9"/>
    <w:rsid w:val="00160425"/>
    <w:rsid w:val="001612B5"/>
    <w:rsid w:val="001655FA"/>
    <w:rsid w:val="001722F5"/>
    <w:rsid w:val="001B05D7"/>
    <w:rsid w:val="001C4AC8"/>
    <w:rsid w:val="00220329"/>
    <w:rsid w:val="00241551"/>
    <w:rsid w:val="00244667"/>
    <w:rsid w:val="00250712"/>
    <w:rsid w:val="00251BC6"/>
    <w:rsid w:val="00263176"/>
    <w:rsid w:val="00263873"/>
    <w:rsid w:val="0026394F"/>
    <w:rsid w:val="00290427"/>
    <w:rsid w:val="002927DC"/>
    <w:rsid w:val="00296CF8"/>
    <w:rsid w:val="002A3A0A"/>
    <w:rsid w:val="002B509D"/>
    <w:rsid w:val="002C6C3F"/>
    <w:rsid w:val="002D3F5C"/>
    <w:rsid w:val="002E03C4"/>
    <w:rsid w:val="002E14F2"/>
    <w:rsid w:val="00330F26"/>
    <w:rsid w:val="00334D32"/>
    <w:rsid w:val="0034474B"/>
    <w:rsid w:val="00346ECB"/>
    <w:rsid w:val="003478EB"/>
    <w:rsid w:val="00364C1D"/>
    <w:rsid w:val="00382386"/>
    <w:rsid w:val="00397D46"/>
    <w:rsid w:val="003A0E14"/>
    <w:rsid w:val="003A3761"/>
    <w:rsid w:val="003A39F1"/>
    <w:rsid w:val="003C66BF"/>
    <w:rsid w:val="003D0222"/>
    <w:rsid w:val="003D0678"/>
    <w:rsid w:val="003D2F45"/>
    <w:rsid w:val="003D67A2"/>
    <w:rsid w:val="003E6C03"/>
    <w:rsid w:val="00401DF6"/>
    <w:rsid w:val="00410055"/>
    <w:rsid w:val="00413BB3"/>
    <w:rsid w:val="004302F1"/>
    <w:rsid w:val="004475E5"/>
    <w:rsid w:val="00452DD3"/>
    <w:rsid w:val="00461623"/>
    <w:rsid w:val="004629CF"/>
    <w:rsid w:val="0046481A"/>
    <w:rsid w:val="00466247"/>
    <w:rsid w:val="00471A25"/>
    <w:rsid w:val="004744E5"/>
    <w:rsid w:val="00474B9F"/>
    <w:rsid w:val="00482D64"/>
    <w:rsid w:val="0049588D"/>
    <w:rsid w:val="004A044B"/>
    <w:rsid w:val="004C2C5D"/>
    <w:rsid w:val="004D591D"/>
    <w:rsid w:val="004E31A8"/>
    <w:rsid w:val="004E3F5C"/>
    <w:rsid w:val="004F2CD8"/>
    <w:rsid w:val="004F68A7"/>
    <w:rsid w:val="00507EE2"/>
    <w:rsid w:val="00511090"/>
    <w:rsid w:val="005170A9"/>
    <w:rsid w:val="0054053C"/>
    <w:rsid w:val="00547137"/>
    <w:rsid w:val="0055007B"/>
    <w:rsid w:val="00550667"/>
    <w:rsid w:val="0055683C"/>
    <w:rsid w:val="0056424E"/>
    <w:rsid w:val="00571E2A"/>
    <w:rsid w:val="0059445F"/>
    <w:rsid w:val="005A3F0E"/>
    <w:rsid w:val="005B24DB"/>
    <w:rsid w:val="005C674D"/>
    <w:rsid w:val="005D0984"/>
    <w:rsid w:val="005D6656"/>
    <w:rsid w:val="005E1DB8"/>
    <w:rsid w:val="005F3BC7"/>
    <w:rsid w:val="00635A2A"/>
    <w:rsid w:val="0065557A"/>
    <w:rsid w:val="00663FB2"/>
    <w:rsid w:val="006779CC"/>
    <w:rsid w:val="00697433"/>
    <w:rsid w:val="006B689C"/>
    <w:rsid w:val="006D278E"/>
    <w:rsid w:val="006D3001"/>
    <w:rsid w:val="006D3472"/>
    <w:rsid w:val="006D733F"/>
    <w:rsid w:val="006E134D"/>
    <w:rsid w:val="006F27B9"/>
    <w:rsid w:val="007023B7"/>
    <w:rsid w:val="00707C78"/>
    <w:rsid w:val="007245BA"/>
    <w:rsid w:val="00727E70"/>
    <w:rsid w:val="007444BD"/>
    <w:rsid w:val="00746B7E"/>
    <w:rsid w:val="007513C9"/>
    <w:rsid w:val="00755716"/>
    <w:rsid w:val="00761C01"/>
    <w:rsid w:val="00765188"/>
    <w:rsid w:val="00766BD3"/>
    <w:rsid w:val="00773252"/>
    <w:rsid w:val="00786DAE"/>
    <w:rsid w:val="00797702"/>
    <w:rsid w:val="007A6F92"/>
    <w:rsid w:val="007B274B"/>
    <w:rsid w:val="007B2D6C"/>
    <w:rsid w:val="007C02C4"/>
    <w:rsid w:val="007C27D6"/>
    <w:rsid w:val="007C4737"/>
    <w:rsid w:val="007E4BAF"/>
    <w:rsid w:val="007F5F81"/>
    <w:rsid w:val="00826503"/>
    <w:rsid w:val="00830223"/>
    <w:rsid w:val="008341E8"/>
    <w:rsid w:val="008519F4"/>
    <w:rsid w:val="00854ED6"/>
    <w:rsid w:val="00885799"/>
    <w:rsid w:val="00894D28"/>
    <w:rsid w:val="00895DE2"/>
    <w:rsid w:val="008A7C58"/>
    <w:rsid w:val="008B5430"/>
    <w:rsid w:val="008C69EA"/>
    <w:rsid w:val="008D43A8"/>
    <w:rsid w:val="008E4786"/>
    <w:rsid w:val="008E4863"/>
    <w:rsid w:val="008E4C61"/>
    <w:rsid w:val="009041E2"/>
    <w:rsid w:val="009063A4"/>
    <w:rsid w:val="00955FCC"/>
    <w:rsid w:val="00962392"/>
    <w:rsid w:val="00985EB5"/>
    <w:rsid w:val="009923F7"/>
    <w:rsid w:val="00994E8A"/>
    <w:rsid w:val="009B2DC6"/>
    <w:rsid w:val="00A015BF"/>
    <w:rsid w:val="00A04CC4"/>
    <w:rsid w:val="00A30CD7"/>
    <w:rsid w:val="00A4305D"/>
    <w:rsid w:val="00A46C9F"/>
    <w:rsid w:val="00A60426"/>
    <w:rsid w:val="00A67AA4"/>
    <w:rsid w:val="00A859A9"/>
    <w:rsid w:val="00AB2D5B"/>
    <w:rsid w:val="00B24AE3"/>
    <w:rsid w:val="00B4733A"/>
    <w:rsid w:val="00B96AF5"/>
    <w:rsid w:val="00BA46B1"/>
    <w:rsid w:val="00BB7D09"/>
    <w:rsid w:val="00BD13FB"/>
    <w:rsid w:val="00BD42A3"/>
    <w:rsid w:val="00C06299"/>
    <w:rsid w:val="00C21C1B"/>
    <w:rsid w:val="00C27450"/>
    <w:rsid w:val="00C519DF"/>
    <w:rsid w:val="00C53585"/>
    <w:rsid w:val="00C76E3D"/>
    <w:rsid w:val="00C827FE"/>
    <w:rsid w:val="00CA4555"/>
    <w:rsid w:val="00CA53BD"/>
    <w:rsid w:val="00CA7D2F"/>
    <w:rsid w:val="00CF23D5"/>
    <w:rsid w:val="00D0209F"/>
    <w:rsid w:val="00D02A37"/>
    <w:rsid w:val="00D218E3"/>
    <w:rsid w:val="00D57769"/>
    <w:rsid w:val="00D615A9"/>
    <w:rsid w:val="00D65E73"/>
    <w:rsid w:val="00DB29FA"/>
    <w:rsid w:val="00DF3C8A"/>
    <w:rsid w:val="00E06159"/>
    <w:rsid w:val="00E246A1"/>
    <w:rsid w:val="00E24B75"/>
    <w:rsid w:val="00E433CB"/>
    <w:rsid w:val="00E54684"/>
    <w:rsid w:val="00EA5CE7"/>
    <w:rsid w:val="00EA7A82"/>
    <w:rsid w:val="00EB0E5E"/>
    <w:rsid w:val="00EB155A"/>
    <w:rsid w:val="00EB2F6F"/>
    <w:rsid w:val="00EB5E98"/>
    <w:rsid w:val="00EB6B94"/>
    <w:rsid w:val="00EC0988"/>
    <w:rsid w:val="00EC62D1"/>
    <w:rsid w:val="00ED4A35"/>
    <w:rsid w:val="00EE3909"/>
    <w:rsid w:val="00F01BE5"/>
    <w:rsid w:val="00F10B16"/>
    <w:rsid w:val="00F20279"/>
    <w:rsid w:val="00F23A09"/>
    <w:rsid w:val="00F5091E"/>
    <w:rsid w:val="00F52A3F"/>
    <w:rsid w:val="00F53B89"/>
    <w:rsid w:val="00F6474D"/>
    <w:rsid w:val="00F65BBA"/>
    <w:rsid w:val="00F90F36"/>
    <w:rsid w:val="00F963EE"/>
    <w:rsid w:val="00F96BAD"/>
    <w:rsid w:val="00FA4FD2"/>
    <w:rsid w:val="00FB3A12"/>
    <w:rsid w:val="00FD0ACD"/>
    <w:rsid w:val="00FE4314"/>
    <w:rsid w:val="00FE5F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DC421B-A924-4946-B3A5-A304B9906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fr-FR" w:bidi="fr-FR"/>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Standard">
    <w:name w:val="Normal"/>
    <w:qFormat/>
    <w:rsid w:val="00885799"/>
  </w:style>
  <w:style w:type="paragraph" w:styleId="berschrift1">
    <w:name w:val="heading 1"/>
    <w:basedOn w:val="Standard"/>
    <w:next w:val="Standard"/>
    <w:link w:val="berschrift1Zchn"/>
    <w:uiPriority w:val="9"/>
    <w:qFormat/>
    <w:rsid w:val="002E03C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unhideWhenUsed/>
    <w:qFormat/>
    <w:rsid w:val="00994E8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1722F5"/>
    <w:pPr>
      <w:ind w:left="720"/>
      <w:contextualSpacing/>
    </w:pPr>
  </w:style>
  <w:style w:type="paragraph" w:customStyle="1" w:styleId="FreeFormAA">
    <w:name w:val="Free Form A A"/>
    <w:rsid w:val="00507EE2"/>
    <w:pPr>
      <w:pBdr>
        <w:top w:val="nil"/>
        <w:left w:val="nil"/>
        <w:bottom w:val="nil"/>
        <w:right w:val="nil"/>
        <w:between w:val="nil"/>
        <w:bar w:val="nil"/>
      </w:pBdr>
      <w:spacing w:after="200" w:line="276" w:lineRule="auto"/>
    </w:pPr>
    <w:rPr>
      <w:rFonts w:ascii="Times New Roman" w:eastAsia="Times New Roman" w:hAnsi="Times New Roman" w:cs="Times New Roman"/>
      <w:color w:val="000000"/>
      <w:sz w:val="20"/>
      <w:szCs w:val="20"/>
      <w:u w:color="000000"/>
      <w:bdr w:val="nil"/>
    </w:rPr>
  </w:style>
  <w:style w:type="paragraph" w:customStyle="1" w:styleId="FreeForm">
    <w:name w:val="Free Form"/>
    <w:rsid w:val="00507EE2"/>
    <w:pPr>
      <w:pBdr>
        <w:top w:val="nil"/>
        <w:left w:val="nil"/>
        <w:bottom w:val="nil"/>
        <w:right w:val="nil"/>
        <w:between w:val="nil"/>
        <w:bar w:val="nil"/>
      </w:pBdr>
      <w:spacing w:after="200" w:line="276" w:lineRule="auto"/>
    </w:pPr>
    <w:rPr>
      <w:rFonts w:ascii="Times New Roman" w:eastAsia="Times New Roman" w:hAnsi="Times New Roman" w:cs="Times New Roman"/>
      <w:color w:val="000000"/>
      <w:sz w:val="20"/>
      <w:szCs w:val="20"/>
      <w:u w:color="000000"/>
      <w:bdr w:val="nil"/>
    </w:rPr>
  </w:style>
  <w:style w:type="paragraph" w:customStyle="1" w:styleId="BodyAAA">
    <w:name w:val="Body A A A"/>
    <w:rsid w:val="00507EE2"/>
    <w:pPr>
      <w:pBdr>
        <w:top w:val="nil"/>
        <w:left w:val="nil"/>
        <w:bottom w:val="nil"/>
        <w:right w:val="nil"/>
        <w:between w:val="nil"/>
        <w:bar w:val="nil"/>
      </w:pBdr>
      <w:tabs>
        <w:tab w:val="left" w:pos="709"/>
        <w:tab w:val="left" w:pos="1417"/>
        <w:tab w:val="left" w:pos="2126"/>
        <w:tab w:val="left" w:pos="2835"/>
        <w:tab w:val="left" w:pos="3543"/>
        <w:tab w:val="left" w:pos="4252"/>
        <w:tab w:val="left" w:pos="4961"/>
        <w:tab w:val="left" w:pos="5669"/>
        <w:tab w:val="left" w:pos="6378"/>
        <w:tab w:val="left" w:pos="7087"/>
        <w:tab w:val="left" w:pos="7795"/>
        <w:tab w:val="left" w:pos="8504"/>
        <w:tab w:val="left" w:pos="8678"/>
      </w:tabs>
      <w:spacing w:after="200" w:line="276" w:lineRule="auto"/>
    </w:pPr>
    <w:rPr>
      <w:rFonts w:ascii="Helvetica" w:eastAsia="Arial Unicode MS" w:hAnsi="Arial Unicode MS" w:cs="Arial Unicode MS"/>
      <w:color w:val="000000"/>
      <w:u w:color="000000"/>
      <w:bdr w:val="nil"/>
    </w:rPr>
  </w:style>
  <w:style w:type="character" w:customStyle="1" w:styleId="berschrift1Zchn">
    <w:name w:val="Überschrift 1 Zchn"/>
    <w:basedOn w:val="Absatz-Standardschriftart"/>
    <w:link w:val="berschrift1"/>
    <w:uiPriority w:val="9"/>
    <w:rsid w:val="002E03C4"/>
    <w:rPr>
      <w:rFonts w:asciiTheme="majorHAnsi" w:eastAsiaTheme="majorEastAsia" w:hAnsiTheme="majorHAnsi" w:cstheme="majorBidi"/>
      <w:color w:val="2E74B5" w:themeColor="accent1" w:themeShade="BF"/>
      <w:sz w:val="32"/>
      <w:szCs w:val="32"/>
    </w:rPr>
  </w:style>
  <w:style w:type="table" w:customStyle="1" w:styleId="Tabellenraster1">
    <w:name w:val="Tabellenraster1"/>
    <w:basedOn w:val="NormaleTabelle"/>
    <w:next w:val="Tabellenraster"/>
    <w:uiPriority w:val="59"/>
    <w:rsid w:val="00BD4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uiPriority w:val="39"/>
    <w:rsid w:val="00BD42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BD13F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BodyA">
    <w:name w:val="Body A"/>
    <w:rsid w:val="00BD13FB"/>
    <w:pPr>
      <w:pBdr>
        <w:top w:val="nil"/>
        <w:left w:val="nil"/>
        <w:bottom w:val="nil"/>
        <w:right w:val="nil"/>
        <w:between w:val="nil"/>
        <w:bar w:val="nil"/>
      </w:pBdr>
      <w:spacing w:after="0" w:line="240" w:lineRule="auto"/>
    </w:pPr>
    <w:rPr>
      <w:rFonts w:ascii="Helvetica" w:eastAsia="Arial Unicode MS" w:hAnsi="Arial Unicode MS" w:cs="Arial Unicode MS"/>
      <w:color w:val="000000"/>
      <w:u w:color="000000"/>
      <w:bdr w:val="nil"/>
    </w:rPr>
  </w:style>
  <w:style w:type="paragraph" w:styleId="Sprechblasentext">
    <w:name w:val="Balloon Text"/>
    <w:basedOn w:val="Standard"/>
    <w:link w:val="SprechblasentextZchn"/>
    <w:uiPriority w:val="99"/>
    <w:semiHidden/>
    <w:unhideWhenUsed/>
    <w:rsid w:val="00EB2F6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EB2F6F"/>
    <w:rPr>
      <w:rFonts w:ascii="Segoe UI" w:hAnsi="Segoe UI" w:cs="Segoe UI"/>
      <w:sz w:val="18"/>
      <w:szCs w:val="18"/>
    </w:rPr>
  </w:style>
  <w:style w:type="paragraph" w:styleId="Titel">
    <w:name w:val="Title"/>
    <w:basedOn w:val="Standard"/>
    <w:next w:val="Standard"/>
    <w:link w:val="TitelZchn"/>
    <w:uiPriority w:val="10"/>
    <w:qFormat/>
    <w:rsid w:val="00985E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985EB5"/>
    <w:rPr>
      <w:rFonts w:asciiTheme="majorHAnsi" w:eastAsiaTheme="majorEastAsia" w:hAnsiTheme="majorHAnsi" w:cstheme="majorBidi"/>
      <w:spacing w:val="-10"/>
      <w:kern w:val="28"/>
      <w:sz w:val="56"/>
      <w:szCs w:val="56"/>
    </w:rPr>
  </w:style>
  <w:style w:type="character" w:customStyle="1" w:styleId="berschrift2Zchn">
    <w:name w:val="Überschrift 2 Zchn"/>
    <w:basedOn w:val="Absatz-Standardschriftart"/>
    <w:link w:val="berschrift2"/>
    <w:uiPriority w:val="9"/>
    <w:rsid w:val="00994E8A"/>
    <w:rPr>
      <w:rFonts w:asciiTheme="majorHAnsi" w:eastAsiaTheme="majorEastAsia" w:hAnsiTheme="majorHAnsi" w:cstheme="majorBidi"/>
      <w:color w:val="2E74B5" w:themeColor="accent1" w:themeShade="BF"/>
      <w:sz w:val="26"/>
      <w:szCs w:val="26"/>
    </w:rPr>
  </w:style>
  <w:style w:type="paragraph" w:styleId="Kopfzeile">
    <w:name w:val="header"/>
    <w:basedOn w:val="Standard"/>
    <w:link w:val="KopfzeileZchn"/>
    <w:uiPriority w:val="99"/>
    <w:unhideWhenUsed/>
    <w:rsid w:val="00E433C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E433CB"/>
  </w:style>
  <w:style w:type="paragraph" w:styleId="Fuzeile">
    <w:name w:val="footer"/>
    <w:basedOn w:val="Standard"/>
    <w:link w:val="FuzeileZchn"/>
    <w:uiPriority w:val="99"/>
    <w:unhideWhenUsed/>
    <w:rsid w:val="00E433C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E433CB"/>
  </w:style>
  <w:style w:type="paragraph" w:styleId="KeinLeerraum">
    <w:name w:val="No Spacing"/>
    <w:link w:val="KeinLeerraumZchn"/>
    <w:uiPriority w:val="1"/>
    <w:qFormat/>
    <w:rsid w:val="00EE3909"/>
    <w:pPr>
      <w:spacing w:after="0" w:line="240" w:lineRule="auto"/>
    </w:pPr>
    <w:rPr>
      <w:rFonts w:eastAsiaTheme="minorEastAsia"/>
    </w:rPr>
  </w:style>
  <w:style w:type="character" w:customStyle="1" w:styleId="KeinLeerraumZchn">
    <w:name w:val="Kein Leerraum Zchn"/>
    <w:basedOn w:val="Absatz-Standardschriftart"/>
    <w:link w:val="KeinLeerraum"/>
    <w:uiPriority w:val="1"/>
    <w:rsid w:val="00EE3909"/>
    <w:rPr>
      <w:rFonts w:eastAsiaTheme="minorEastAsia"/>
    </w:rPr>
  </w:style>
  <w:style w:type="paragraph" w:styleId="Beschriftung">
    <w:name w:val="caption"/>
    <w:basedOn w:val="Standard"/>
    <w:next w:val="Standard"/>
    <w:uiPriority w:val="35"/>
    <w:unhideWhenUsed/>
    <w:qFormat/>
    <w:rsid w:val="00D65E73"/>
    <w:pPr>
      <w:spacing w:after="200" w:line="240" w:lineRule="auto"/>
    </w:pPr>
    <w:rPr>
      <w:b/>
      <w:bCs/>
      <w:color w:val="5B9BD5" w:themeColor="accent1"/>
      <w:sz w:val="18"/>
      <w:szCs w:val="18"/>
    </w:rPr>
  </w:style>
  <w:style w:type="paragraph" w:styleId="Funotentext">
    <w:name w:val="footnote text"/>
    <w:basedOn w:val="Standard"/>
    <w:link w:val="FunotentextZchn"/>
    <w:uiPriority w:val="99"/>
    <w:semiHidden/>
    <w:unhideWhenUsed/>
    <w:rsid w:val="006D3001"/>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3001"/>
    <w:rPr>
      <w:sz w:val="20"/>
      <w:szCs w:val="20"/>
    </w:rPr>
  </w:style>
  <w:style w:type="character" w:styleId="Funotenzeichen">
    <w:name w:val="footnote reference"/>
    <w:basedOn w:val="Absatz-Standardschriftart"/>
    <w:uiPriority w:val="99"/>
    <w:semiHidden/>
    <w:unhideWhenUsed/>
    <w:rsid w:val="006D3001"/>
    <w:rPr>
      <w:vertAlign w:val="superscript"/>
    </w:rPr>
  </w:style>
  <w:style w:type="character" w:styleId="Hyperlink">
    <w:name w:val="Hyperlink"/>
    <w:basedOn w:val="Absatz-Standardschriftart"/>
    <w:uiPriority w:val="99"/>
    <w:unhideWhenUsed/>
    <w:rsid w:val="006D3001"/>
    <w:rPr>
      <w:color w:val="0563C1" w:themeColor="hyperlink"/>
      <w:u w:val="single"/>
    </w:rPr>
  </w:style>
  <w:style w:type="paragraph" w:styleId="Inhaltsverzeichnisberschrift">
    <w:name w:val="TOC Heading"/>
    <w:basedOn w:val="berschrift1"/>
    <w:next w:val="Standard"/>
    <w:uiPriority w:val="39"/>
    <w:unhideWhenUsed/>
    <w:qFormat/>
    <w:rsid w:val="00A859A9"/>
    <w:pPr>
      <w:spacing w:before="480" w:line="276" w:lineRule="auto"/>
      <w:outlineLvl w:val="9"/>
    </w:pPr>
    <w:rPr>
      <w:b/>
      <w:bCs/>
      <w:sz w:val="28"/>
      <w:szCs w:val="28"/>
    </w:rPr>
  </w:style>
  <w:style w:type="paragraph" w:styleId="Verzeichnis2">
    <w:name w:val="toc 2"/>
    <w:basedOn w:val="Standard"/>
    <w:next w:val="Standard"/>
    <w:autoRedefine/>
    <w:uiPriority w:val="39"/>
    <w:unhideWhenUsed/>
    <w:qFormat/>
    <w:rsid w:val="00A859A9"/>
    <w:pPr>
      <w:spacing w:after="100" w:line="276" w:lineRule="auto"/>
      <w:ind w:left="220"/>
    </w:pPr>
    <w:rPr>
      <w:rFonts w:eastAsiaTheme="minorEastAsia"/>
    </w:rPr>
  </w:style>
  <w:style w:type="paragraph" w:styleId="Verzeichnis1">
    <w:name w:val="toc 1"/>
    <w:basedOn w:val="Standard"/>
    <w:next w:val="Standard"/>
    <w:autoRedefine/>
    <w:uiPriority w:val="39"/>
    <w:unhideWhenUsed/>
    <w:qFormat/>
    <w:rsid w:val="00A859A9"/>
    <w:pPr>
      <w:spacing w:after="100" w:line="276" w:lineRule="auto"/>
    </w:pPr>
    <w:rPr>
      <w:rFonts w:eastAsiaTheme="minorEastAsia"/>
    </w:rPr>
  </w:style>
  <w:style w:type="paragraph" w:styleId="Verzeichnis3">
    <w:name w:val="toc 3"/>
    <w:basedOn w:val="Standard"/>
    <w:next w:val="Standard"/>
    <w:autoRedefine/>
    <w:uiPriority w:val="39"/>
    <w:semiHidden/>
    <w:unhideWhenUsed/>
    <w:qFormat/>
    <w:rsid w:val="00A859A9"/>
    <w:pPr>
      <w:spacing w:after="100" w:line="276" w:lineRule="auto"/>
      <w:ind w:left="440"/>
    </w:pPr>
    <w:rPr>
      <w:rFonts w:eastAsiaTheme="minorEastAsia"/>
    </w:rPr>
  </w:style>
  <w:style w:type="character" w:styleId="Kommentarzeichen">
    <w:name w:val="annotation reference"/>
    <w:basedOn w:val="Absatz-Standardschriftart"/>
    <w:uiPriority w:val="99"/>
    <w:semiHidden/>
    <w:unhideWhenUsed/>
    <w:rsid w:val="00C06299"/>
    <w:rPr>
      <w:sz w:val="16"/>
      <w:szCs w:val="16"/>
    </w:rPr>
  </w:style>
  <w:style w:type="paragraph" w:styleId="Kommentartext">
    <w:name w:val="annotation text"/>
    <w:basedOn w:val="Standard"/>
    <w:link w:val="KommentartextZchn"/>
    <w:uiPriority w:val="99"/>
    <w:semiHidden/>
    <w:unhideWhenUsed/>
    <w:rsid w:val="00C06299"/>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06299"/>
    <w:rPr>
      <w:sz w:val="20"/>
      <w:szCs w:val="20"/>
    </w:rPr>
  </w:style>
  <w:style w:type="paragraph" w:styleId="Kommentarthema">
    <w:name w:val="annotation subject"/>
    <w:basedOn w:val="Kommentartext"/>
    <w:next w:val="Kommentartext"/>
    <w:link w:val="KommentarthemaZchn"/>
    <w:uiPriority w:val="99"/>
    <w:semiHidden/>
    <w:unhideWhenUsed/>
    <w:rsid w:val="00C06299"/>
    <w:rPr>
      <w:b/>
      <w:bCs/>
    </w:rPr>
  </w:style>
  <w:style w:type="character" w:customStyle="1" w:styleId="KommentarthemaZchn">
    <w:name w:val="Kommentarthema Zchn"/>
    <w:basedOn w:val="KommentartextZchn"/>
    <w:link w:val="Kommentarthema"/>
    <w:uiPriority w:val="99"/>
    <w:semiHidden/>
    <w:rsid w:val="00C0629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8D3F45A-888D-40EF-A8A9-D26AD5027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977</Words>
  <Characters>6156</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Réponse de Deutsche Telekom AG dans le cadre de la consultation publique de l'ARCEP sur l'autorisation d'éléments terrestres complémentaires au service mobile par satellite en bande 2 GHz pour la société Inmarsat Ventures Limited</vt:lpstr>
    </vt:vector>
  </TitlesOfParts>
  <Company>Deutsche Telekom AG</Company>
  <LinksUpToDate>false</LinksUpToDate>
  <CharactersWithSpaces>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Réponse de Deutsche Telekom AG dans le cadre de la consultation publique de l'ARCEP sur l'autorisation d'éléments terrestres complémentaires au service mobile par satellite en bande 2 GHz pour la société Inmarsat Ventures Limited</dc:title>
  <dc:creator>dtc104494</dc:creator>
  <cp:lastModifiedBy>Jochum, Jan-Hendrik</cp:lastModifiedBy>
  <cp:revision>3</cp:revision>
  <cp:lastPrinted>2016-06-29T12:50:00Z</cp:lastPrinted>
  <dcterms:created xsi:type="dcterms:W3CDTF">2017-09-07T14:27:00Z</dcterms:created>
  <dcterms:modified xsi:type="dcterms:W3CDTF">2017-09-07T14:29:00Z</dcterms:modified>
</cp:coreProperties>
</file>